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 xml:space="preserve">(приложение № 1.1 </w:t>
      </w:r>
      <w:proofErr w:type="gramStart"/>
      <w:r w:rsidR="00C966A2" w:rsidRPr="00D66995">
        <w:rPr>
          <w:sz w:val="28"/>
          <w:szCs w:val="28"/>
        </w:rPr>
        <w:t>конкурсной</w:t>
      </w:r>
      <w:proofErr w:type="gramEnd"/>
      <w:r w:rsidR="00C966A2" w:rsidRPr="00D66995">
        <w:rPr>
          <w:sz w:val="28"/>
          <w:szCs w:val="28"/>
        </w:rPr>
        <w:t xml:space="preserve">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 xml:space="preserve">Конкурсная документация и иная информация о конкурсе размещается на сайтах. За получение </w:t>
      </w:r>
      <w:proofErr w:type="gramStart"/>
      <w:r w:rsidRPr="007242BE">
        <w:rPr>
          <w:sz w:val="28"/>
          <w:szCs w:val="28"/>
        </w:rPr>
        <w:t>конкурсной</w:t>
      </w:r>
      <w:proofErr w:type="gramEnd"/>
      <w:r w:rsidRPr="007242BE">
        <w:rPr>
          <w:sz w:val="28"/>
          <w:szCs w:val="28"/>
        </w:rPr>
        <w:t xml:space="preserve">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proofErr w:type="gramStart"/>
      <w:r w:rsidRPr="007242BE">
        <w:rPr>
          <w:rFonts w:ascii="Times New Roman" w:hAnsi="Times New Roman" w:cs="Times New Roman"/>
          <w:sz w:val="28"/>
          <w:szCs w:val="28"/>
        </w:rPr>
        <w:t>конкурсной</w:t>
      </w:r>
      <w:proofErr w:type="gramEnd"/>
      <w:r w:rsidRPr="007242BE">
        <w:rPr>
          <w:rFonts w:ascii="Times New Roman" w:hAnsi="Times New Roman" w:cs="Times New Roman"/>
          <w:sz w:val="28"/>
          <w:szCs w:val="28"/>
        </w:rPr>
        <w:t xml:space="preserve">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roofErr w:type="gramEnd"/>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C877CB" w:rsidRPr="00C877CB"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877CB" w:rsidRPr="00C5137A">
        <w:rPr>
          <w:color w:val="000000"/>
          <w:sz w:val="28"/>
          <w:szCs w:val="28"/>
        </w:rPr>
        <w:t>В случае обжалования в антимонопольном органе действи</w:t>
      </w:r>
      <w:r w:rsidR="00C877CB">
        <w:rPr>
          <w:color w:val="000000"/>
          <w:sz w:val="28"/>
          <w:szCs w:val="28"/>
        </w:rPr>
        <w:t>я</w:t>
      </w:r>
      <w:r w:rsidR="00C877CB"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877CB">
        <w:rPr>
          <w:color w:val="000000"/>
          <w:sz w:val="28"/>
          <w:szCs w:val="28"/>
        </w:rPr>
        <w:t>и оценки конкурсных</w:t>
      </w:r>
      <w:r w:rsidR="00C877CB" w:rsidRPr="00C5137A">
        <w:rPr>
          <w:color w:val="000000"/>
          <w:sz w:val="28"/>
          <w:szCs w:val="28"/>
        </w:rPr>
        <w:t xml:space="preserve"> заявок</w:t>
      </w:r>
      <w:r w:rsidR="00C877CB">
        <w:rPr>
          <w:color w:val="000000"/>
          <w:sz w:val="28"/>
          <w:szCs w:val="28"/>
        </w:rPr>
        <w:t>, срок подведения итогов конкурса на</w:t>
      </w:r>
      <w:r w:rsidR="00C877CB" w:rsidRPr="00C5137A">
        <w:rPr>
          <w:color w:val="000000"/>
          <w:sz w:val="28"/>
          <w:szCs w:val="28"/>
        </w:rPr>
        <w:t xml:space="preserve"> более </w:t>
      </w:r>
      <w:r w:rsidR="00C877CB">
        <w:rPr>
          <w:color w:val="000000"/>
          <w:sz w:val="28"/>
          <w:szCs w:val="28"/>
        </w:rPr>
        <w:t xml:space="preserve">длительный срок, необходимый для рассмотрения жалобы по существу и принятия </w:t>
      </w:r>
      <w:r w:rsidR="00C877CB" w:rsidRPr="00C5137A">
        <w:rPr>
          <w:color w:val="000000"/>
          <w:sz w:val="28"/>
          <w:szCs w:val="28"/>
        </w:rPr>
        <w:t>по</w:t>
      </w:r>
      <w:r w:rsidR="00C877CB">
        <w:rPr>
          <w:color w:val="000000"/>
          <w:sz w:val="28"/>
          <w:szCs w:val="28"/>
        </w:rPr>
        <w:t xml:space="preserve"> ней решения, подведения итогов конкурса</w:t>
      </w:r>
      <w:r w:rsidR="00C877CB" w:rsidRPr="00C5137A">
        <w:rPr>
          <w:color w:val="000000"/>
          <w:sz w:val="28"/>
          <w:szCs w:val="28"/>
        </w:rPr>
        <w:t>.</w:t>
      </w:r>
    </w:p>
    <w:p w:rsidR="00376155" w:rsidRPr="00C877CB" w:rsidRDefault="00C877CB" w:rsidP="00C877CB">
      <w:pPr>
        <w:tabs>
          <w:tab w:val="left" w:pos="0"/>
          <w:tab w:val="left" w:pos="993"/>
        </w:tabs>
        <w:jc w:val="both"/>
        <w:rPr>
          <w:rFonts w:eastAsia="MS Mincho"/>
          <w:sz w:val="28"/>
          <w:szCs w:val="28"/>
        </w:rPr>
      </w:pPr>
      <w:r>
        <w:rPr>
          <w:rFonts w:eastAsia="MS Mincho"/>
          <w:sz w:val="28"/>
          <w:szCs w:val="28"/>
        </w:rPr>
        <w:tab/>
      </w:r>
      <w:r w:rsidR="001C7A62" w:rsidRPr="00C877CB">
        <w:rPr>
          <w:rFonts w:eastAsia="MS Mincho"/>
          <w:sz w:val="28"/>
          <w:szCs w:val="28"/>
        </w:rPr>
        <w:t xml:space="preserve">При этом заказчик размещает соответствующее уведомление на сайтах в течение 3 (трех) дней </w:t>
      </w:r>
      <w:proofErr w:type="gramStart"/>
      <w:r w:rsidR="001C7A62" w:rsidRPr="00C877CB">
        <w:rPr>
          <w:rFonts w:eastAsia="MS Mincho"/>
          <w:sz w:val="28"/>
          <w:szCs w:val="28"/>
        </w:rPr>
        <w:t>с даты принятия</w:t>
      </w:r>
      <w:proofErr w:type="gramEnd"/>
      <w:r w:rsidR="001C7A62" w:rsidRPr="00C877CB">
        <w:rPr>
          <w:rFonts w:eastAsia="MS Mincho"/>
          <w:sz w:val="28"/>
          <w:szCs w:val="28"/>
        </w:rPr>
        <w:t xml:space="preserve"> решения о продлении срока рассмотрения и оценки заявок.</w:t>
      </w:r>
      <w:r w:rsidR="001C7A62" w:rsidRPr="00C877CB">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Default="00AA0346" w:rsidP="00C877CB">
      <w:pPr>
        <w:pStyle w:val="a6"/>
        <w:ind w:left="0" w:firstLine="709"/>
        <w:jc w:val="both"/>
        <w:rPr>
          <w:rFonts w:eastAsia="MS Mincho"/>
          <w:sz w:val="28"/>
          <w:szCs w:val="28"/>
        </w:rPr>
      </w:pPr>
      <w:r w:rsidRPr="007242BE">
        <w:rPr>
          <w:rFonts w:eastAsia="MS Mincho"/>
          <w:sz w:val="28"/>
          <w:szCs w:val="28"/>
        </w:rPr>
        <w:t xml:space="preserve">документы не подписаны должным образом (в соответствии с требованиями </w:t>
      </w:r>
      <w:proofErr w:type="gramStart"/>
      <w:r w:rsidRPr="007242BE">
        <w:rPr>
          <w:rFonts w:eastAsia="MS Mincho"/>
          <w:sz w:val="28"/>
          <w:szCs w:val="28"/>
        </w:rPr>
        <w:t>конкурсной</w:t>
      </w:r>
      <w:proofErr w:type="gramEnd"/>
      <w:r w:rsidRPr="007242BE">
        <w:rPr>
          <w:rFonts w:eastAsia="MS Mincho"/>
          <w:sz w:val="28"/>
          <w:szCs w:val="28"/>
        </w:rPr>
        <w:t xml:space="preserve"> документации);</w:t>
      </w:r>
    </w:p>
    <w:p w:rsidR="00AA0346" w:rsidRDefault="00C877CB" w:rsidP="00AA0346">
      <w:pPr>
        <w:pStyle w:val="a6"/>
        <w:ind w:left="0" w:firstLine="709"/>
        <w:jc w:val="both"/>
        <w:rPr>
          <w:rFonts w:eastAsia="MS Mincho"/>
          <w:sz w:val="28"/>
          <w:szCs w:val="28"/>
        </w:rPr>
      </w:pPr>
      <w:r>
        <w:rPr>
          <w:rFonts w:eastAsia="MS Mincho"/>
          <w:sz w:val="28"/>
          <w:szCs w:val="28"/>
        </w:rPr>
        <w:lastRenderedPageBreak/>
        <w:t xml:space="preserve">техническое предложение не соответствует требованиям </w:t>
      </w:r>
      <w:proofErr w:type="gramStart"/>
      <w:r>
        <w:rPr>
          <w:rFonts w:eastAsia="MS Mincho"/>
          <w:sz w:val="28"/>
          <w:szCs w:val="28"/>
        </w:rPr>
        <w:t>конкурсной</w:t>
      </w:r>
      <w:proofErr w:type="gramEnd"/>
      <w:r>
        <w:rPr>
          <w:rFonts w:eastAsia="MS Mincho"/>
          <w:sz w:val="28"/>
          <w:szCs w:val="28"/>
        </w:rPr>
        <w:t xml:space="preserve">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w:t>
      </w:r>
      <w:proofErr w:type="gramStart"/>
      <w:r w:rsidRPr="0025271A">
        <w:rPr>
          <w:rFonts w:eastAsia="MS Mincho"/>
          <w:sz w:val="28"/>
          <w:szCs w:val="28"/>
        </w:rPr>
        <w:t>в</w:t>
      </w:r>
      <w:proofErr w:type="gramEnd"/>
      <w:r w:rsidRPr="0025271A">
        <w:rPr>
          <w:rFonts w:eastAsia="MS Mincho"/>
          <w:sz w:val="28"/>
          <w:szCs w:val="28"/>
        </w:rPr>
        <w:t xml:space="preserve">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lastRenderedPageBreak/>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roofErr w:type="gramEnd"/>
    </w:p>
    <w:p w:rsidR="00E144C5" w:rsidRDefault="001C7A62" w:rsidP="00E144C5">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roofErr w:type="gramEnd"/>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xml:space="preserve">, а также проверяет наличие и соответствие представленных в составе заявок </w:t>
      </w:r>
      <w:r w:rsidRPr="00D66995">
        <w:rPr>
          <w:sz w:val="28"/>
          <w:szCs w:val="28"/>
        </w:rPr>
        <w:lastRenderedPageBreak/>
        <w:t>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 xml:space="preserve">соответствуют требованиям конкурсной документации оценка заявки по </w:t>
      </w:r>
      <w:r w:rsidRPr="00D66995">
        <w:rPr>
          <w:sz w:val="28"/>
        </w:rPr>
        <w:lastRenderedPageBreak/>
        <w:t>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r w:rsidRPr="00D66995">
        <w:rPr>
          <w:sz w:val="28"/>
          <w:szCs w:val="28"/>
        </w:rPr>
        <w:t>В случае</w:t>
      </w:r>
      <w:proofErr w:type="gramStart"/>
      <w:r w:rsidRPr="00D66995">
        <w:rPr>
          <w:sz w:val="28"/>
          <w:szCs w:val="28"/>
        </w:rPr>
        <w:t>,</w:t>
      </w:r>
      <w:proofErr w:type="gramEnd"/>
      <w:r w:rsidRPr="00D66995">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 xml:space="preserve">заявок </w:t>
      </w:r>
      <w:proofErr w:type="gramStart"/>
      <w:r>
        <w:rPr>
          <w:sz w:val="28"/>
          <w:szCs w:val="28"/>
        </w:rPr>
        <w:t>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w:t>
      </w:r>
      <w:proofErr w:type="gramEnd"/>
      <w:r>
        <w:rPr>
          <w:sz w:val="28"/>
          <w:szCs w:val="28"/>
        </w:rPr>
        <w:t xml:space="preserve">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lastRenderedPageBreak/>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lastRenderedPageBreak/>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случае если переторжка </w:t>
      </w:r>
      <w:proofErr w:type="gramStart"/>
      <w:r w:rsidR="0025271A" w:rsidRPr="0025271A">
        <w:rPr>
          <w:sz w:val="28"/>
          <w:szCs w:val="28"/>
        </w:rPr>
        <w:t>проводится в режиме реального времени в приглашении указывается</w:t>
      </w:r>
      <w:proofErr w:type="gramEnd"/>
      <w:r w:rsidR="0025271A" w:rsidRPr="0025271A">
        <w:rPr>
          <w:sz w:val="28"/>
          <w:szCs w:val="28"/>
        </w:rPr>
        <w:t xml:space="preserve">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случае если переторжка </w:t>
      </w:r>
      <w:proofErr w:type="gramStart"/>
      <w:r w:rsidRPr="003A24A3">
        <w:rPr>
          <w:sz w:val="28"/>
          <w:szCs w:val="28"/>
        </w:rPr>
        <w:t>проводится в режиме реального времени в приглашении указывается</w:t>
      </w:r>
      <w:proofErr w:type="gramEnd"/>
      <w:r w:rsidRPr="003A24A3">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lastRenderedPageBreak/>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 xml:space="preserve">б) основания отклонения каждого из предложений с указанием положений </w:t>
      </w:r>
      <w:proofErr w:type="gramStart"/>
      <w:r>
        <w:rPr>
          <w:sz w:val="28"/>
          <w:szCs w:val="28"/>
        </w:rPr>
        <w:t>конкурсной</w:t>
      </w:r>
      <w:proofErr w:type="gramEnd"/>
      <w:r>
        <w:rPr>
          <w:sz w:val="28"/>
          <w:szCs w:val="28"/>
        </w:rPr>
        <w:t xml:space="preserve">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 xml:space="preserve">предложения в порядке и сроки, указанные в приглашении к переторжке. В приглашении также </w:t>
      </w:r>
      <w:r w:rsidRPr="007242BE">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w:t>
      </w:r>
      <w:proofErr w:type="gramStart"/>
      <w:r>
        <w:rPr>
          <w:sz w:val="28"/>
          <w:szCs w:val="28"/>
        </w:rPr>
        <w:t xml:space="preserve">Документы должны быть оформлены в соответствии с требованиями конкурсной документации, предъявляемыми к данным документам. </w:t>
      </w:r>
      <w:proofErr w:type="gramEnd"/>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proofErr w:type="gramStart"/>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roofErr w:type="gramEnd"/>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proofErr w:type="gramStart"/>
      <w:r w:rsidRPr="003A24A3">
        <w:rPr>
          <w:sz w:val="28"/>
          <w:szCs w:val="28"/>
        </w:rPr>
        <w:t>конкурсной</w:t>
      </w:r>
      <w:proofErr w:type="gramEnd"/>
      <w:r w:rsidRPr="003A24A3">
        <w:rPr>
          <w:sz w:val="28"/>
          <w:szCs w:val="28"/>
        </w:rPr>
        <w:t xml:space="preserve">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w:t>
      </w:r>
      <w:r w:rsidRPr="00184056">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5C22D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w:t>
      </w:r>
      <w:r w:rsidR="005C22DE" w:rsidRPr="00B77AFC">
        <w:rPr>
          <w:sz w:val="28"/>
          <w:szCs w:val="28"/>
        </w:rPr>
        <w:t xml:space="preserve">При осуществлении закупок радиоэлектронной продукции оценка и сопоставление заявок на участие в </w:t>
      </w:r>
      <w:r w:rsidR="005C22DE">
        <w:rPr>
          <w:sz w:val="28"/>
          <w:szCs w:val="28"/>
        </w:rPr>
        <w:t>закупке</w:t>
      </w:r>
      <w:r w:rsidR="005C22DE"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C22DE">
        <w:rPr>
          <w:sz w:val="28"/>
          <w:szCs w:val="28"/>
        </w:rPr>
        <w:t xml:space="preserve"> </w:t>
      </w:r>
    </w:p>
    <w:p w:rsidR="004024FD" w:rsidRPr="007242BE" w:rsidRDefault="005C22DE" w:rsidP="004024FD">
      <w:pPr>
        <w:pStyle w:val="a6"/>
        <w:ind w:left="0" w:firstLine="709"/>
        <w:jc w:val="both"/>
        <w:rPr>
          <w:sz w:val="28"/>
          <w:szCs w:val="28"/>
        </w:rPr>
      </w:pPr>
      <w:r>
        <w:rPr>
          <w:sz w:val="28"/>
          <w:szCs w:val="28"/>
        </w:rPr>
        <w:lastRenderedPageBreak/>
        <w:t xml:space="preserve">3.12.4. </w:t>
      </w:r>
      <w:r w:rsidR="004024FD" w:rsidRPr="007242B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5</w:t>
      </w:r>
      <w:r w:rsidR="004024FD" w:rsidRPr="007242BE">
        <w:rPr>
          <w:sz w:val="28"/>
          <w:szCs w:val="28"/>
        </w:rPr>
        <w:t>.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6</w:t>
      </w:r>
      <w:r w:rsidR="004024FD" w:rsidRPr="007242BE">
        <w:rPr>
          <w:sz w:val="28"/>
          <w:szCs w:val="28"/>
        </w:rPr>
        <w:t>.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7</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8</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9</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10</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w:t>
      </w:r>
      <w:r w:rsidRPr="007242BE">
        <w:rPr>
          <w:sz w:val="28"/>
          <w:szCs w:val="28"/>
        </w:rPr>
        <w:lastRenderedPageBreak/>
        <w:t>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5C22DE">
        <w:rPr>
          <w:sz w:val="28"/>
          <w:szCs w:val="28"/>
        </w:rPr>
        <w:t>1</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proofErr w:type="gramStart"/>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roofErr w:type="gramEnd"/>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w:t>
      </w:r>
      <w:proofErr w:type="gramStart"/>
      <w:r w:rsidRPr="007242BE">
        <w:rPr>
          <w:sz w:val="28"/>
          <w:szCs w:val="28"/>
        </w:rPr>
        <w:t>конкурсной</w:t>
      </w:r>
      <w:proofErr w:type="gramEnd"/>
      <w:r w:rsidRPr="007242BE">
        <w:rPr>
          <w:sz w:val="28"/>
          <w:szCs w:val="28"/>
        </w:rPr>
        <w:t xml:space="preserve">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w:t>
      </w:r>
      <w:r w:rsidRPr="00D66995">
        <w:rPr>
          <w:sz w:val="28"/>
          <w:szCs w:val="28"/>
        </w:rPr>
        <w:lastRenderedPageBreak/>
        <w:t>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дополнительные документы, на основании которых проводится оценка (если приложением № 1.4 </w:t>
      </w:r>
      <w:proofErr w:type="gramStart"/>
      <w:r w:rsidRPr="00D66995">
        <w:rPr>
          <w:sz w:val="28"/>
          <w:szCs w:val="28"/>
        </w:rPr>
        <w:t>конкурсной</w:t>
      </w:r>
      <w:proofErr w:type="gramEnd"/>
      <w:r w:rsidRPr="00D66995">
        <w:rPr>
          <w:sz w:val="28"/>
          <w:szCs w:val="28"/>
        </w:rPr>
        <w:t xml:space="preserve">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lastRenderedPageBreak/>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соответствовать требованиям по оформлению, изложенным </w:t>
      </w:r>
      <w:proofErr w:type="gramStart"/>
      <w:r w:rsidRPr="00D66995">
        <w:rPr>
          <w:sz w:val="28"/>
          <w:szCs w:val="28"/>
        </w:rPr>
        <w:t>в</w:t>
      </w:r>
      <w:proofErr w:type="gramEnd"/>
      <w:r w:rsidRPr="00D66995">
        <w:rPr>
          <w:sz w:val="28"/>
          <w:szCs w:val="28"/>
        </w:rPr>
        <w:t xml:space="preserve">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0D43A3" w:rsidRDefault="000D43A3" w:rsidP="000D43A3">
      <w:pPr>
        <w:pStyle w:val="11"/>
        <w:numPr>
          <w:ilvl w:val="2"/>
          <w:numId w:val="49"/>
        </w:numPr>
        <w:ind w:left="0" w:firstLine="704"/>
        <w:rPr>
          <w:szCs w:val="28"/>
        </w:rPr>
      </w:pPr>
      <w:r>
        <w:rPr>
          <w:szCs w:val="28"/>
        </w:rPr>
        <w:t xml:space="preserve"> </w:t>
      </w:r>
      <w:r w:rsidR="008C46FA"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Pr="000D43A3" w:rsidRDefault="000D43A3" w:rsidP="000D43A3">
      <w:pPr>
        <w:pStyle w:val="11"/>
        <w:numPr>
          <w:ilvl w:val="2"/>
          <w:numId w:val="49"/>
        </w:numPr>
        <w:ind w:left="0" w:firstLine="704"/>
        <w:rPr>
          <w:szCs w:val="28"/>
        </w:rPr>
      </w:pPr>
      <w:r>
        <w:rPr>
          <w:szCs w:val="28"/>
        </w:rPr>
        <w:t xml:space="preserve"> </w:t>
      </w:r>
      <w:r w:rsidR="008C46FA" w:rsidRPr="000D43A3">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008C46FA" w:rsidRPr="000D43A3">
        <w:rPr>
          <w:rFonts w:eastAsia="MS Mincho"/>
          <w:szCs w:val="28"/>
        </w:rPr>
        <w:t>усиленной квалифицированной</w:t>
      </w:r>
      <w:r w:rsidR="008C46FA" w:rsidRPr="000D43A3">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lastRenderedPageBreak/>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proofErr w:type="gramStart"/>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roofErr w:type="gramEnd"/>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lastRenderedPageBreak/>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proofErr w:type="gramStart"/>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roofErr w:type="gramEnd"/>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lastRenderedPageBreak/>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w:t>
      </w:r>
      <w:proofErr w:type="gramStart"/>
      <w:r w:rsidR="008D3F92" w:rsidRPr="007242BE">
        <w:rPr>
          <w:sz w:val="28"/>
          <w:szCs w:val="28"/>
        </w:rPr>
        <w:t>конкурсной</w:t>
      </w:r>
      <w:proofErr w:type="gramEnd"/>
      <w:r w:rsidR="008D3F92" w:rsidRPr="007242BE">
        <w:rPr>
          <w:sz w:val="28"/>
          <w:szCs w:val="28"/>
        </w:rPr>
        <w:t xml:space="preserve">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w:t>
      </w:r>
      <w:r w:rsidR="00457F5E">
        <w:rPr>
          <w:color w:val="000000"/>
          <w:sz w:val="28"/>
          <w:szCs w:val="28"/>
        </w:rPr>
        <w:lastRenderedPageBreak/>
        <w:t xml:space="preserve">(банковских)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w:t>
      </w:r>
      <w:r w:rsidRPr="007242BE">
        <w:rPr>
          <w:color w:val="000000"/>
          <w:sz w:val="28"/>
          <w:szCs w:val="28"/>
        </w:rPr>
        <w:lastRenderedPageBreak/>
        <w:t>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 xml:space="preserve">является несоответствие банковской гарантии условиям, изложенным </w:t>
      </w:r>
      <w:proofErr w:type="gramStart"/>
      <w:r w:rsidRPr="007242BE">
        <w:rPr>
          <w:sz w:val="28"/>
          <w:szCs w:val="28"/>
        </w:rPr>
        <w:t>в</w:t>
      </w:r>
      <w:proofErr w:type="gramEnd"/>
      <w:r w:rsidRPr="007242BE">
        <w:rPr>
          <w:sz w:val="28"/>
          <w:szCs w:val="28"/>
        </w:rPr>
        <w:t xml:space="preserve"> конкурсной документации.</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f0"/>
        <w:numPr>
          <w:ilvl w:val="2"/>
          <w:numId w:val="16"/>
        </w:numPr>
        <w:ind w:left="0" w:firstLine="704"/>
        <w:rPr>
          <w:b w:val="0"/>
          <w:i w:val="0"/>
        </w:rPr>
      </w:pPr>
      <w:r w:rsidRPr="00D66995">
        <w:rPr>
          <w:b w:val="0"/>
          <w:i w:val="0"/>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proofErr w:type="gramStart"/>
      <w:r w:rsidRPr="007242BE">
        <w:rPr>
          <w:b w:val="0"/>
          <w:i w:val="0"/>
        </w:rPr>
        <w:lastRenderedPageBreak/>
        <w:t xml:space="preserve">Предложение участника о цене, содержащееся в </w:t>
      </w:r>
      <w:r w:rsidR="00161F7A">
        <w:rPr>
          <w:b w:val="0"/>
          <w:i w:val="0"/>
        </w:rPr>
        <w:t xml:space="preserve">техническом </w:t>
      </w:r>
      <w:r w:rsidRPr="007242BE">
        <w:rPr>
          <w:b w:val="0"/>
          <w:i w:val="0"/>
        </w:rPr>
        <w:t>предложении не должно превышать начальную (максимальную) цену договора (цену лота), установленную в конкурсной документации (с учетом НДС и без учета НДС).</w:t>
      </w:r>
      <w:proofErr w:type="gramEnd"/>
      <w:r w:rsidRPr="007242BE">
        <w:rPr>
          <w:b w:val="0"/>
          <w:i w:val="0"/>
        </w:rPr>
        <w:t xml:space="preserve">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w:t>
      </w:r>
      <w:r w:rsidR="00C87507">
        <w:rPr>
          <w:b w:val="0"/>
          <w:i w:val="0"/>
        </w:rPr>
        <w:t xml:space="preserve"> </w:t>
      </w:r>
      <w:r w:rsidR="00C87507" w:rsidRPr="007D426F">
        <w:rPr>
          <w:b w:val="0"/>
          <w:i w:val="0"/>
        </w:rPr>
        <w:t>(если указание цены за единицу предусмотрено конкурсной документацией)</w:t>
      </w:r>
      <w:r w:rsidR="006852B9" w:rsidRPr="007242BE">
        <w:rPr>
          <w:b w:val="0"/>
          <w:i w:val="0"/>
        </w:rPr>
        <w:t xml:space="preserve">. </w:t>
      </w:r>
      <w:proofErr w:type="gramStart"/>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roofErr w:type="gramEnd"/>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w:t>
      </w:r>
      <w:r w:rsidR="00C87507">
        <w:rPr>
          <w:sz w:val="28"/>
          <w:szCs w:val="28"/>
        </w:rPr>
        <w:t xml:space="preserve">наименования, </w:t>
      </w:r>
      <w:r w:rsidRPr="007242BE">
        <w:rPr>
          <w:sz w:val="28"/>
          <w:szCs w:val="28"/>
        </w:rPr>
        <w:t>марки</w:t>
      </w:r>
      <w:r w:rsidR="00C87507">
        <w:rPr>
          <w:sz w:val="28"/>
          <w:szCs w:val="28"/>
        </w:rPr>
        <w:t xml:space="preserve"> (при наличии)</w:t>
      </w:r>
      <w:r w:rsidRPr="007242BE">
        <w:rPr>
          <w:sz w:val="28"/>
          <w:szCs w:val="28"/>
        </w:rPr>
        <w:t xml:space="preserve">, модели,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марку</w:t>
      </w:r>
      <w:r w:rsidR="00C87507">
        <w:rPr>
          <w:sz w:val="28"/>
          <w:szCs w:val="28"/>
        </w:rPr>
        <w:t xml:space="preserve"> (при наличии)</w:t>
      </w:r>
      <w:r w:rsidR="00457F5E">
        <w:rPr>
          <w:sz w:val="28"/>
          <w:szCs w:val="28"/>
        </w:rPr>
        <w:t xml:space="preserve">,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w:t>
      </w:r>
      <w:proofErr w:type="gramStart"/>
      <w:r w:rsidRPr="00D66995">
        <w:rPr>
          <w:sz w:val="28"/>
          <w:szCs w:val="28"/>
        </w:rPr>
        <w:t>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D66995">
        <w:rPr>
          <w:sz w:val="28"/>
          <w:szCs w:val="28"/>
        </w:rPr>
        <w:t xml:space="preserve">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w:t>
      </w:r>
      <w:r w:rsidRPr="007242BE">
        <w:rPr>
          <w:sz w:val="28"/>
          <w:szCs w:val="28"/>
        </w:rPr>
        <w:lastRenderedPageBreak/>
        <w:t xml:space="preserve">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w:t>
      </w:r>
      <w:proofErr w:type="gramStart"/>
      <w:r w:rsidRPr="007242BE">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w:t>
      </w:r>
      <w:proofErr w:type="gramEnd"/>
      <w:r w:rsidRPr="00337663">
        <w:rPr>
          <w:bCs/>
          <w:sz w:val="28"/>
          <w:szCs w:val="28"/>
        </w:rPr>
        <w:t xml:space="preserve"> платежным поручением, подтверждающим перечисление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w:t>
      </w:r>
      <w:proofErr w:type="gramStart"/>
      <w:r w:rsidRPr="007242BE">
        <w:rPr>
          <w:spacing w:val="-2"/>
          <w:sz w:val="28"/>
          <w:szCs w:val="28"/>
        </w:rPr>
        <w:t xml:space="preserve">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roofErr w:type="gramEnd"/>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w:t>
      </w:r>
      <w:r w:rsidR="002A56B3" w:rsidRPr="00D66995">
        <w:rPr>
          <w:rFonts w:eastAsia="Times New Roman"/>
          <w:bCs/>
          <w:sz w:val="28"/>
          <w:szCs w:val="28"/>
        </w:rPr>
        <w:lastRenderedPageBreak/>
        <w:t>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w:t>
      </w:r>
      <w:r w:rsidRPr="00D66995">
        <w:rPr>
          <w:sz w:val="28"/>
          <w:szCs w:val="28"/>
        </w:rPr>
        <w:lastRenderedPageBreak/>
        <w:t xml:space="preserve">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proofErr w:type="gramStart"/>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w:t>
      </w:r>
      <w:r w:rsidRPr="007242BE">
        <w:rPr>
          <w:sz w:val="28"/>
          <w:szCs w:val="28"/>
        </w:rPr>
        <w:lastRenderedPageBreak/>
        <w:t xml:space="preserve">конкурса, за исключением случаев, предусмотренных конкурсной документацией.. </w:t>
      </w:r>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w:t>
      </w:r>
      <w:proofErr w:type="gramEnd"/>
      <w:r w:rsidR="00857491" w:rsidRPr="00577A23">
        <w:rPr>
          <w:sz w:val="28"/>
          <w:szCs w:val="28"/>
        </w:rPr>
        <w:t xml:space="preserve">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bookmarkStart w:id="1" w:name="_GoBack"/>
      <w:bookmarkEnd w:id="1"/>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w:t>
      </w:r>
      <w:proofErr w:type="gramStart"/>
      <w:r w:rsidRPr="002C5498">
        <w:rPr>
          <w:sz w:val="28"/>
          <w:szCs w:val="28"/>
        </w:rPr>
        <w:t>конкурсной</w:t>
      </w:r>
      <w:proofErr w:type="gramEnd"/>
      <w:r w:rsidRPr="002C5498">
        <w:rPr>
          <w:sz w:val="28"/>
          <w:szCs w:val="28"/>
        </w:rPr>
        <w:t xml:space="preserve">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 xml:space="preserve">В </w:t>
      </w:r>
      <w:r w:rsidR="002E709A">
        <w:rPr>
          <w:sz w:val="28"/>
          <w:szCs w:val="28"/>
        </w:rPr>
        <w:t xml:space="preserve">любой срок до </w:t>
      </w:r>
      <w:r w:rsidRPr="00D66995">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 xml:space="preserve">в случаях, предусмотренных в пункте 1.11 </w:t>
      </w:r>
      <w:proofErr w:type="gramStart"/>
      <w:r w:rsidR="005F2EDA" w:rsidRPr="00D66995">
        <w:rPr>
          <w:sz w:val="28"/>
          <w:szCs w:val="28"/>
        </w:rPr>
        <w:t>конкурсной</w:t>
      </w:r>
      <w:proofErr w:type="gramEnd"/>
      <w:r w:rsidR="005F2EDA" w:rsidRPr="00D66995">
        <w:rPr>
          <w:sz w:val="28"/>
          <w:szCs w:val="28"/>
        </w:rPr>
        <w:t xml:space="preserve">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w:t>
      </w:r>
      <w:proofErr w:type="gramStart"/>
      <w:r w:rsidRPr="007242BE">
        <w:rPr>
          <w:sz w:val="28"/>
          <w:szCs w:val="28"/>
        </w:rPr>
        <w:t>в</w:t>
      </w:r>
      <w:proofErr w:type="gramEnd"/>
      <w:r w:rsidRPr="007242BE">
        <w:rPr>
          <w:sz w:val="28"/>
          <w:szCs w:val="28"/>
        </w:rPr>
        <w:t xml:space="preserve"> конкурсной документации.</w:t>
      </w:r>
    </w:p>
    <w:p w:rsidR="006852B9" w:rsidRPr="007242BE" w:rsidRDefault="00FB4186" w:rsidP="00FB4186">
      <w:pPr>
        <w:pStyle w:val="a6"/>
        <w:ind w:left="0" w:firstLine="709"/>
        <w:jc w:val="both"/>
        <w:rPr>
          <w:sz w:val="28"/>
          <w:szCs w:val="28"/>
        </w:rPr>
      </w:pPr>
      <w:r>
        <w:rPr>
          <w:sz w:val="28"/>
          <w:szCs w:val="28"/>
        </w:rPr>
        <w:lastRenderedPageBreak/>
        <w:t>3.</w:t>
      </w:r>
      <w:r w:rsidR="00894A99">
        <w:rPr>
          <w:sz w:val="28"/>
          <w:szCs w:val="28"/>
        </w:rPr>
        <w:t>19</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proofErr w:type="gramStart"/>
      <w:r w:rsidRPr="007242BE">
        <w:rPr>
          <w:i/>
          <w:sz w:val="28"/>
          <w:szCs w:val="28"/>
        </w:rPr>
        <w:t>Раздел конкурсной документации «Порядок проведения конкурса» является неизменяемым.</w:t>
      </w:r>
      <w:proofErr w:type="gramEnd"/>
      <w:r w:rsidRPr="007242BE">
        <w:rPr>
          <w:i/>
          <w:sz w:val="28"/>
          <w:szCs w:val="28"/>
        </w:rPr>
        <w:t xml:space="preserve">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lastRenderedPageBreak/>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tblPr>
      <w:tblGrid>
        <w:gridCol w:w="3721"/>
        <w:gridCol w:w="3296"/>
        <w:gridCol w:w="3120"/>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tblPr>
      <w:tblGrid>
        <w:gridCol w:w="3886"/>
        <w:gridCol w:w="3296"/>
        <w:gridCol w:w="2955"/>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C8" w:rsidRDefault="00305AC8" w:rsidP="00863290">
      <w:r>
        <w:separator/>
      </w:r>
    </w:p>
  </w:endnote>
  <w:endnote w:type="continuationSeparator" w:id="0">
    <w:p w:rsidR="00305AC8" w:rsidRDefault="00305AC8"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C8" w:rsidRDefault="00305AC8" w:rsidP="00863290">
      <w:r>
        <w:separator/>
      </w:r>
    </w:p>
  </w:footnote>
  <w:footnote w:type="continuationSeparator" w:id="0">
    <w:p w:rsidR="00305AC8" w:rsidRDefault="00305AC8" w:rsidP="00863290">
      <w:r>
        <w:continuationSeparator/>
      </w:r>
    </w:p>
  </w:footnote>
  <w:footnote w:id="1">
    <w:p w:rsidR="00065444" w:rsidRPr="00FA27A5" w:rsidRDefault="00065444"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65444" w:rsidRPr="00B377A4" w:rsidRDefault="00065444"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32" w:rsidRDefault="00FA7B08">
    <w:pPr>
      <w:pStyle w:val="af1"/>
      <w:jc w:val="center"/>
    </w:pPr>
    <w:fldSimple w:instr=" PAGE   \* MERGEFORMAT ">
      <w:r w:rsidR="00894A99">
        <w:rPr>
          <w:noProof/>
        </w:rPr>
        <w:t>44</w:t>
      </w:r>
    </w:fldSimple>
  </w:p>
  <w:p w:rsidR="00D53732" w:rsidRDefault="00D537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A935618"/>
    <w:multiLevelType w:val="multilevel"/>
    <w:tmpl w:val="61CC42CA"/>
    <w:lvl w:ilvl="0">
      <w:start w:val="3"/>
      <w:numFmt w:val="decimal"/>
      <w:lvlText w:val="%1"/>
      <w:lvlJc w:val="left"/>
      <w:pPr>
        <w:ind w:left="750" w:hanging="750"/>
      </w:pPr>
      <w:rPr>
        <w:rFonts w:hint="default"/>
      </w:rPr>
    </w:lvl>
    <w:lvl w:ilvl="1">
      <w:start w:val="14"/>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6">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8">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9">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7"/>
  </w:num>
  <w:num w:numId="2">
    <w:abstractNumId w:val="11"/>
  </w:num>
  <w:num w:numId="3">
    <w:abstractNumId w:val="21"/>
  </w:num>
  <w:num w:numId="4">
    <w:abstractNumId w:val="2"/>
  </w:num>
  <w:num w:numId="5">
    <w:abstractNumId w:val="8"/>
  </w:num>
  <w:num w:numId="6">
    <w:abstractNumId w:val="28"/>
  </w:num>
  <w:num w:numId="7">
    <w:abstractNumId w:val="25"/>
  </w:num>
  <w:num w:numId="8">
    <w:abstractNumId w:val="16"/>
  </w:num>
  <w:num w:numId="9">
    <w:abstractNumId w:val="14"/>
  </w:num>
  <w:num w:numId="10">
    <w:abstractNumId w:val="12"/>
  </w:num>
  <w:num w:numId="11">
    <w:abstractNumId w:val="5"/>
  </w:num>
  <w:num w:numId="12">
    <w:abstractNumId w:val="24"/>
  </w:num>
  <w:num w:numId="13">
    <w:abstractNumId w:val="4"/>
  </w:num>
  <w:num w:numId="14">
    <w:abstractNumId w:val="17"/>
  </w:num>
  <w:num w:numId="15">
    <w:abstractNumId w:val="18"/>
  </w:num>
  <w:num w:numId="16">
    <w:abstractNumId w:val="6"/>
  </w:num>
  <w:num w:numId="17">
    <w:abstractNumId w:val="0"/>
  </w:num>
  <w:num w:numId="18">
    <w:abstractNumId w:val="15"/>
  </w:num>
  <w:num w:numId="19">
    <w:abstractNumId w:val="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29"/>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0"/>
  </w:num>
  <w:num w:numId="45">
    <w:abstractNumId w:val="26"/>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87507"/>
    <w:rsid w:val="00C877CB"/>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C105-30EF-42F9-A2E8-BB9746B8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17630</Words>
  <Characters>100495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ckz_kirina</cp:lastModifiedBy>
  <cp:revision>4</cp:revision>
  <dcterms:created xsi:type="dcterms:W3CDTF">2019-10-30T11:07:00Z</dcterms:created>
  <dcterms:modified xsi:type="dcterms:W3CDTF">2019-10-30T11:09:00Z</dcterms:modified>
</cp:coreProperties>
</file>